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4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90"/>
        <w:gridCol w:w="5376"/>
      </w:tblGrid>
      <w:tr w:rsidR="009A2EED" w:rsidRPr="00301CB6" w14:paraId="57881A91" w14:textId="77777777" w:rsidTr="0079149E">
        <w:trPr>
          <w:trHeight w:val="3527"/>
        </w:trPr>
        <w:tc>
          <w:tcPr>
            <w:tcW w:w="10111" w:type="dxa"/>
          </w:tcPr>
          <w:p w14:paraId="78073164" w14:textId="24261280" w:rsidR="003D0440" w:rsidRPr="00093786" w:rsidRDefault="0079149E" w:rsidP="00093786">
            <w:pPr>
              <w:rPr>
                <w:rFonts w:ascii="Arial Nova" w:hAnsi="Arial Nova"/>
                <w:b/>
                <w:bCs/>
                <w:sz w:val="28"/>
                <w:szCs w:val="28"/>
                <w:u w:val="single"/>
              </w:rPr>
            </w:pPr>
            <w:r>
              <w:rPr>
                <w:rFonts w:ascii="Arial Nova" w:hAnsi="Arial Nova" w:cs="Calibri"/>
                <w:b/>
                <w:bCs/>
                <w:color w:val="000000"/>
                <w:sz w:val="28"/>
                <w:szCs w:val="28"/>
                <w:u w:val="single"/>
              </w:rPr>
              <w:t>Internal Transfers</w:t>
            </w:r>
            <w:r w:rsidR="000837B6">
              <w:rPr>
                <w:rFonts w:ascii="Arial Nova" w:hAnsi="Arial Nova" w:cs="Calibri"/>
                <w:b/>
                <w:bCs/>
                <w:color w:val="000000"/>
                <w:sz w:val="28"/>
                <w:szCs w:val="28"/>
                <w:u w:val="single"/>
              </w:rPr>
              <w:t xml:space="preserve"> </w:t>
            </w:r>
            <w:r w:rsidR="00093786" w:rsidRPr="00093786">
              <w:rPr>
                <w:rFonts w:ascii="Arial Nova" w:hAnsi="Arial Nova" w:cs="Calibri"/>
                <w:b/>
                <w:bCs/>
                <w:color w:val="000000"/>
                <w:sz w:val="28"/>
                <w:szCs w:val="28"/>
                <w:u w:val="single"/>
              </w:rPr>
              <w:t xml:space="preserve">Review </w:t>
            </w:r>
            <w:r w:rsidR="003D0440" w:rsidRPr="00093786">
              <w:rPr>
                <w:rFonts w:ascii="Arial Nova" w:hAnsi="Arial Nova" w:cstheme="minorHAnsi"/>
                <w:b/>
                <w:bCs/>
                <w:sz w:val="28"/>
                <w:szCs w:val="28"/>
                <w:u w:val="single"/>
              </w:rPr>
              <w:t xml:space="preserve">Overview </w:t>
            </w:r>
          </w:p>
          <w:p w14:paraId="1134CFC8" w14:textId="4D28C254" w:rsidR="002A029E" w:rsidRDefault="0079149E" w:rsidP="003D0440">
            <w:pPr>
              <w:pStyle w:val="ListParagraph"/>
              <w:numPr>
                <w:ilvl w:val="0"/>
                <w:numId w:val="4"/>
              </w:numPr>
              <w:rPr>
                <w:rFonts w:ascii="Arial Nova" w:hAnsi="Arial Nova"/>
                <w:sz w:val="28"/>
                <w:szCs w:val="28"/>
              </w:rPr>
            </w:pPr>
            <w:r>
              <w:rPr>
                <w:rFonts w:ascii="Arial Nova" w:hAnsi="Arial Nova"/>
                <w:sz w:val="28"/>
                <w:szCs w:val="28"/>
              </w:rPr>
              <w:t>Internal Transfer</w:t>
            </w:r>
            <w:r w:rsidR="002A029E">
              <w:rPr>
                <w:rFonts w:ascii="Arial Nova" w:hAnsi="Arial Nova"/>
                <w:sz w:val="28"/>
                <w:szCs w:val="28"/>
              </w:rPr>
              <w:t xml:space="preserve"> </w:t>
            </w:r>
            <w:r w:rsidR="00E6126E">
              <w:rPr>
                <w:rFonts w:ascii="Arial Nova" w:hAnsi="Arial Nova"/>
                <w:sz w:val="28"/>
                <w:szCs w:val="28"/>
              </w:rPr>
              <w:t>Review</w:t>
            </w:r>
            <w:r w:rsidR="002A029E">
              <w:rPr>
                <w:rFonts w:ascii="Arial Nova" w:hAnsi="Arial Nova"/>
                <w:sz w:val="28"/>
                <w:szCs w:val="28"/>
              </w:rPr>
              <w:t xml:space="preserve"> complete</w:t>
            </w:r>
            <w:r w:rsidR="002A029E" w:rsidRPr="004016F3">
              <w:rPr>
                <w:rFonts w:ascii="Arial Nova" w:hAnsi="Arial Nova"/>
                <w:sz w:val="28"/>
                <w:szCs w:val="28"/>
              </w:rPr>
              <w:t>d</w:t>
            </w:r>
            <w:r w:rsidR="000837B6" w:rsidRPr="004016F3">
              <w:rPr>
                <w:rFonts w:ascii="Arial Nova" w:hAnsi="Arial Nova"/>
                <w:sz w:val="28"/>
                <w:szCs w:val="28"/>
              </w:rPr>
              <w:t xml:space="preserve"> </w:t>
            </w:r>
            <w:r w:rsidR="003F150A" w:rsidRPr="004016F3">
              <w:rPr>
                <w:rFonts w:ascii="Arial Nova" w:hAnsi="Arial Nova"/>
                <w:sz w:val="28"/>
                <w:szCs w:val="28"/>
              </w:rPr>
              <w:t xml:space="preserve">June </w:t>
            </w:r>
            <w:r w:rsidR="004016F3" w:rsidRPr="004016F3">
              <w:rPr>
                <w:rFonts w:ascii="Arial Nova" w:hAnsi="Arial Nova"/>
                <w:sz w:val="28"/>
                <w:szCs w:val="28"/>
              </w:rPr>
              <w:t>2022</w:t>
            </w:r>
            <w:r w:rsidR="000837B6" w:rsidRPr="004016F3">
              <w:rPr>
                <w:rFonts w:ascii="Arial Nova" w:hAnsi="Arial Nova"/>
                <w:sz w:val="28"/>
                <w:szCs w:val="28"/>
              </w:rPr>
              <w:t xml:space="preserve"> with board approval </w:t>
            </w:r>
            <w:r w:rsidR="004016F3" w:rsidRPr="004016F3">
              <w:rPr>
                <w:rFonts w:ascii="Arial Nova" w:hAnsi="Arial Nova"/>
                <w:sz w:val="28"/>
                <w:szCs w:val="28"/>
              </w:rPr>
              <w:t>September 2022</w:t>
            </w:r>
          </w:p>
          <w:p w14:paraId="296CB647" w14:textId="78E075C0" w:rsidR="003D0440" w:rsidRPr="002A029E" w:rsidRDefault="00B67224" w:rsidP="0053499B">
            <w:pPr>
              <w:pStyle w:val="ListParagraph"/>
              <w:numPr>
                <w:ilvl w:val="0"/>
                <w:numId w:val="4"/>
              </w:numPr>
              <w:rPr>
                <w:rFonts w:ascii="Arial Nova" w:hAnsi="Arial Nova"/>
                <w:sz w:val="28"/>
                <w:szCs w:val="28"/>
              </w:rPr>
            </w:pPr>
            <w:r>
              <w:rPr>
                <w:rFonts w:ascii="Arial Nova" w:hAnsi="Arial Nova"/>
                <w:sz w:val="28"/>
                <w:szCs w:val="28"/>
              </w:rPr>
              <w:t>10</w:t>
            </w:r>
            <w:r w:rsidR="003D0440" w:rsidRPr="002A029E">
              <w:rPr>
                <w:rFonts w:ascii="Arial Nova" w:hAnsi="Arial Nova"/>
                <w:sz w:val="28"/>
                <w:szCs w:val="28"/>
              </w:rPr>
              <w:t xml:space="preserve"> Recommendation</w:t>
            </w:r>
            <w:r w:rsidR="002A029E">
              <w:rPr>
                <w:rFonts w:ascii="Arial Nova" w:hAnsi="Arial Nova"/>
                <w:sz w:val="28"/>
                <w:szCs w:val="28"/>
              </w:rPr>
              <w:t>s made</w:t>
            </w:r>
            <w:r w:rsidR="006C3D0A">
              <w:rPr>
                <w:rFonts w:ascii="Arial Nova" w:hAnsi="Arial Nova"/>
                <w:sz w:val="28"/>
                <w:szCs w:val="28"/>
              </w:rPr>
              <w:t xml:space="preserve">, 9 accepted, </w:t>
            </w:r>
            <w:r>
              <w:rPr>
                <w:rFonts w:ascii="Arial Nova" w:hAnsi="Arial Nova"/>
                <w:sz w:val="28"/>
                <w:szCs w:val="28"/>
              </w:rPr>
              <w:t>1 partially accepted, and 1 not accepted</w:t>
            </w:r>
          </w:p>
          <w:p w14:paraId="3204FAB4" w14:textId="553E0027" w:rsidR="009A2EED" w:rsidRPr="00301CB6" w:rsidRDefault="00DC2AA4" w:rsidP="003D0440">
            <w:pPr>
              <w:pStyle w:val="ListParagraph"/>
              <w:numPr>
                <w:ilvl w:val="0"/>
                <w:numId w:val="4"/>
              </w:numPr>
              <w:spacing w:after="160" w:line="259" w:lineRule="auto"/>
              <w:rPr>
                <w:rFonts w:ascii="Arial Nova" w:hAnsi="Arial Nova"/>
                <w:sz w:val="28"/>
                <w:szCs w:val="28"/>
              </w:rPr>
            </w:pPr>
            <w:r>
              <w:rPr>
                <w:rFonts w:ascii="Arial Nova" w:hAnsi="Arial Nova"/>
                <w:sz w:val="28"/>
                <w:szCs w:val="28"/>
              </w:rPr>
              <w:t>100</w:t>
            </w:r>
            <w:r w:rsidR="003D0440" w:rsidRPr="00EC2C1C">
              <w:rPr>
                <w:rFonts w:ascii="Arial Nova" w:hAnsi="Arial Nova"/>
                <w:sz w:val="28"/>
                <w:szCs w:val="28"/>
              </w:rPr>
              <w:t xml:space="preserve">% Recommendations </w:t>
            </w:r>
            <w:r w:rsidR="007616D2" w:rsidRPr="00EC2C1C">
              <w:rPr>
                <w:rFonts w:ascii="Arial Nova" w:hAnsi="Arial Nova"/>
                <w:sz w:val="28"/>
                <w:szCs w:val="28"/>
              </w:rPr>
              <w:t>c</w:t>
            </w:r>
            <w:r w:rsidR="003D0440" w:rsidRPr="00EC2C1C">
              <w:rPr>
                <w:rFonts w:ascii="Arial Nova" w:hAnsi="Arial Nova"/>
                <w:sz w:val="28"/>
                <w:szCs w:val="28"/>
              </w:rPr>
              <w:t>omplete</w:t>
            </w:r>
            <w:r w:rsidR="000821BC" w:rsidRPr="00EC2C1C">
              <w:rPr>
                <w:rFonts w:ascii="Arial Nova" w:hAnsi="Arial Nova"/>
                <w:sz w:val="28"/>
                <w:szCs w:val="28"/>
              </w:rPr>
              <w:t>d</w:t>
            </w:r>
          </w:p>
        </w:tc>
        <w:tc>
          <w:tcPr>
            <w:tcW w:w="5355" w:type="dxa"/>
          </w:tcPr>
          <w:p w14:paraId="0412926D" w14:textId="7CF8D5F3" w:rsidR="009A2EED" w:rsidRPr="00301CB6" w:rsidRDefault="00DC2AA4" w:rsidP="00763DCD">
            <w:pPr>
              <w:jc w:val="center"/>
              <w:rPr>
                <w:rFonts w:ascii="Arial Nova" w:hAnsi="Arial Nova"/>
                <w:sz w:val="28"/>
                <w:szCs w:val="28"/>
              </w:rPr>
            </w:pPr>
            <w:r w:rsidRPr="00DC2AA4">
              <w:rPr>
                <w:rFonts w:ascii="Arial Nova" w:hAnsi="Arial Nova"/>
                <w:sz w:val="28"/>
                <w:szCs w:val="28"/>
              </w:rPr>
              <w:drawing>
                <wp:inline distT="0" distB="0" distL="0" distR="0" wp14:anchorId="7134B633" wp14:editId="4D357D69">
                  <wp:extent cx="3276600" cy="2514600"/>
                  <wp:effectExtent l="0" t="0" r="0" b="0"/>
                  <wp:docPr id="14731942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194279" name=""/>
                          <pic:cNvPicPr/>
                        </pic:nvPicPr>
                        <pic:blipFill>
                          <a:blip r:embed="rId10"/>
                          <a:stretch>
                            <a:fillRect/>
                          </a:stretch>
                        </pic:blipFill>
                        <pic:spPr>
                          <a:xfrm>
                            <a:off x="0" y="0"/>
                            <a:ext cx="3277061" cy="2514954"/>
                          </a:xfrm>
                          <a:prstGeom prst="rect">
                            <a:avLst/>
                          </a:prstGeom>
                        </pic:spPr>
                      </pic:pic>
                    </a:graphicData>
                  </a:graphic>
                </wp:inline>
              </w:drawing>
            </w:r>
          </w:p>
        </w:tc>
      </w:tr>
    </w:tbl>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gridCol w:w="5528"/>
      </w:tblGrid>
      <w:tr w:rsidR="009D662E" w:rsidRPr="00301CB6" w14:paraId="1EEF3196" w14:textId="77777777" w:rsidTr="0079149E">
        <w:trPr>
          <w:trHeight w:val="416"/>
        </w:trPr>
        <w:tc>
          <w:tcPr>
            <w:tcW w:w="9918" w:type="dxa"/>
            <w:shd w:val="clear" w:color="auto" w:fill="1CCAB5"/>
            <w:hideMark/>
          </w:tcPr>
          <w:p w14:paraId="4EC226BD" w14:textId="64E678E3" w:rsidR="009D662E" w:rsidRPr="00301CB6" w:rsidRDefault="009D662E" w:rsidP="009D662E">
            <w:pPr>
              <w:spacing w:after="0" w:line="240" w:lineRule="auto"/>
              <w:rPr>
                <w:rFonts w:ascii="Arial Nova" w:eastAsia="Times New Roman" w:hAnsi="Arial Nova" w:cs="Arial"/>
                <w:b/>
                <w:bCs/>
                <w:sz w:val="28"/>
                <w:szCs w:val="28"/>
                <w:lang w:eastAsia="en-GB"/>
              </w:rPr>
            </w:pPr>
            <w:r w:rsidRPr="00301CB6">
              <w:rPr>
                <w:rFonts w:ascii="Arial Nova" w:eastAsia="Times New Roman" w:hAnsi="Arial Nova" w:cs="Arial"/>
                <w:b/>
                <w:bCs/>
                <w:sz w:val="28"/>
                <w:szCs w:val="28"/>
                <w:lang w:eastAsia="en-GB"/>
              </w:rPr>
              <w:t>Recommendation</w:t>
            </w:r>
          </w:p>
        </w:tc>
        <w:tc>
          <w:tcPr>
            <w:tcW w:w="5528" w:type="dxa"/>
            <w:shd w:val="clear" w:color="auto" w:fill="1CCAB5"/>
            <w:hideMark/>
          </w:tcPr>
          <w:p w14:paraId="09550D63" w14:textId="022BB4AB" w:rsidR="009D662E" w:rsidRPr="00301CB6" w:rsidRDefault="007A56AE" w:rsidP="009D662E">
            <w:pPr>
              <w:spacing w:after="0" w:line="240" w:lineRule="auto"/>
              <w:rPr>
                <w:rFonts w:ascii="Arial Nova" w:eastAsia="Times New Roman" w:hAnsi="Arial Nova" w:cs="Arial"/>
                <w:b/>
                <w:bCs/>
                <w:sz w:val="28"/>
                <w:szCs w:val="28"/>
                <w:lang w:eastAsia="en-GB"/>
              </w:rPr>
            </w:pPr>
            <w:r>
              <w:rPr>
                <w:rFonts w:ascii="Arial Nova" w:eastAsia="Times New Roman" w:hAnsi="Arial Nova" w:cs="Arial"/>
                <w:b/>
                <w:bCs/>
                <w:sz w:val="28"/>
                <w:szCs w:val="28"/>
                <w:lang w:eastAsia="en-GB"/>
              </w:rPr>
              <w:t>Update</w:t>
            </w:r>
          </w:p>
        </w:tc>
      </w:tr>
      <w:tr w:rsidR="007A56AE" w:rsidRPr="009D662E" w14:paraId="1A6A5386" w14:textId="77777777" w:rsidTr="0079149E">
        <w:trPr>
          <w:trHeight w:val="1550"/>
        </w:trPr>
        <w:tc>
          <w:tcPr>
            <w:tcW w:w="9918" w:type="dxa"/>
            <w:tcBorders>
              <w:top w:val="single" w:sz="4" w:space="0" w:color="auto"/>
              <w:left w:val="single" w:sz="4" w:space="0" w:color="auto"/>
              <w:bottom w:val="single" w:sz="4" w:space="0" w:color="auto"/>
              <w:right w:val="single" w:sz="4" w:space="0" w:color="auto"/>
            </w:tcBorders>
            <w:shd w:val="clear" w:color="auto" w:fill="auto"/>
          </w:tcPr>
          <w:p w14:paraId="295F0825" w14:textId="44F8BC15" w:rsidR="0079149E" w:rsidRDefault="00432F17" w:rsidP="0079149E">
            <w:pPr>
              <w:spacing w:after="0" w:line="240" w:lineRule="auto"/>
              <w:rPr>
                <w:rFonts w:ascii="Arial Nova" w:hAnsi="Arial Nova" w:cs="Calibri"/>
                <w:color w:val="000000"/>
                <w:sz w:val="28"/>
                <w:szCs w:val="28"/>
              </w:rPr>
            </w:pPr>
            <w:r>
              <w:rPr>
                <w:rFonts w:ascii="Arial Nova" w:hAnsi="Arial Nova" w:cs="Calibri"/>
                <w:color w:val="000000"/>
                <w:sz w:val="28"/>
                <w:szCs w:val="28"/>
              </w:rPr>
              <w:t>I</w:t>
            </w:r>
            <w:r w:rsidR="0079149E" w:rsidRPr="0079149E">
              <w:rPr>
                <w:rFonts w:ascii="Arial Nova" w:hAnsi="Arial Nova" w:cs="Calibri"/>
                <w:color w:val="000000"/>
                <w:sz w:val="28"/>
                <w:szCs w:val="28"/>
              </w:rPr>
              <w:t>3. Combine the internal transfer waiting list and the main waiting list as one.  It is felt this is fairer and would remove the issue around no clear policy on which list to use when there is an allocation.   The current points system would put internal transfer applicants at a disadvantage due to generally being more suitably housed than main waiting list applicants, therefore this needs to be considered when PFH combine the lists, potentially looking at average points to boost internal transfer applicants to match non-residents.</w:t>
            </w:r>
          </w:p>
          <w:p w14:paraId="0A2F1E57" w14:textId="5D031B4B" w:rsidR="007A56AE" w:rsidRPr="007A56AE" w:rsidRDefault="007A56AE" w:rsidP="00DD66F1">
            <w:pPr>
              <w:spacing w:after="0" w:line="240" w:lineRule="auto"/>
              <w:rPr>
                <w:rFonts w:ascii="Arial Nova" w:hAnsi="Arial Nova" w:cs="Calibri"/>
                <w:color w:val="000000"/>
                <w:sz w:val="28"/>
                <w:szCs w:val="28"/>
              </w:rPr>
            </w:pP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334487F1" w14:textId="4B57D185" w:rsidR="0079149E" w:rsidRPr="00301CB6" w:rsidRDefault="0079149E" w:rsidP="0079149E">
            <w:pPr>
              <w:spacing w:after="0" w:line="240" w:lineRule="auto"/>
              <w:rPr>
                <w:rFonts w:ascii="Arial Nova" w:eastAsia="Times New Roman" w:hAnsi="Arial Nova" w:cs="Calibri"/>
                <w:b/>
                <w:bCs/>
                <w:color w:val="000000"/>
                <w:sz w:val="28"/>
                <w:szCs w:val="28"/>
                <w:u w:val="single"/>
                <w:lang w:eastAsia="en-GB"/>
              </w:rPr>
            </w:pPr>
            <w:r w:rsidRPr="00301CB6">
              <w:rPr>
                <w:rFonts w:ascii="Arial Nova" w:eastAsia="Times New Roman" w:hAnsi="Arial Nova" w:cs="Calibri"/>
                <w:b/>
                <w:bCs/>
                <w:color w:val="000000" w:themeColor="text1"/>
                <w:sz w:val="28"/>
                <w:szCs w:val="28"/>
                <w:u w:val="single"/>
                <w:lang w:eastAsia="en-GB"/>
              </w:rPr>
              <w:t xml:space="preserve">Update – </w:t>
            </w:r>
            <w:r w:rsidR="00946E40">
              <w:rPr>
                <w:rFonts w:ascii="Arial Nova" w:eastAsia="Times New Roman" w:hAnsi="Arial Nova" w:cs="Calibri"/>
                <w:b/>
                <w:bCs/>
                <w:color w:val="000000" w:themeColor="text1"/>
                <w:sz w:val="28"/>
                <w:szCs w:val="28"/>
                <w:u w:val="single"/>
                <w:lang w:eastAsia="en-GB"/>
              </w:rPr>
              <w:t>January</w:t>
            </w:r>
            <w:r w:rsidR="00EE3211">
              <w:rPr>
                <w:rFonts w:ascii="Arial Nova" w:eastAsia="Times New Roman" w:hAnsi="Arial Nova" w:cs="Calibri"/>
                <w:b/>
                <w:bCs/>
                <w:color w:val="000000" w:themeColor="text1"/>
                <w:sz w:val="28"/>
                <w:szCs w:val="28"/>
                <w:u w:val="single"/>
                <w:lang w:eastAsia="en-GB"/>
              </w:rPr>
              <w:t xml:space="preserve"> 2025 </w:t>
            </w:r>
            <w:r w:rsidRPr="00301CB6">
              <w:rPr>
                <w:rFonts w:ascii="Arial Nova" w:eastAsia="Times New Roman" w:hAnsi="Arial Nova" w:cs="Calibri"/>
                <w:b/>
                <w:bCs/>
                <w:color w:val="000000" w:themeColor="text1"/>
                <w:sz w:val="28"/>
                <w:szCs w:val="28"/>
                <w:u w:val="single"/>
                <w:lang w:eastAsia="en-GB"/>
              </w:rPr>
              <w:t xml:space="preserve">– </w:t>
            </w:r>
            <w:r w:rsidR="00946E40">
              <w:rPr>
                <w:rFonts w:ascii="Arial Nova" w:eastAsia="Times New Roman" w:hAnsi="Arial Nova" w:cs="Calibri"/>
                <w:b/>
                <w:bCs/>
                <w:color w:val="000000" w:themeColor="text1"/>
                <w:sz w:val="28"/>
                <w:szCs w:val="28"/>
                <w:u w:val="single"/>
                <w:lang w:eastAsia="en-GB"/>
              </w:rPr>
              <w:t>Complete</w:t>
            </w:r>
          </w:p>
          <w:p w14:paraId="5B98B562" w14:textId="77777777" w:rsidR="00946E40" w:rsidRPr="00946E40" w:rsidRDefault="00946E40" w:rsidP="00946E40">
            <w:pPr>
              <w:spacing w:after="0" w:line="240" w:lineRule="auto"/>
              <w:rPr>
                <w:rFonts w:ascii="Arial Nova" w:eastAsia="Times New Roman" w:hAnsi="Arial Nova" w:cs="Calibri"/>
                <w:color w:val="000000"/>
                <w:sz w:val="28"/>
                <w:szCs w:val="28"/>
                <w:lang w:eastAsia="en-GB"/>
              </w:rPr>
            </w:pPr>
            <w:r w:rsidRPr="00946E40">
              <w:rPr>
                <w:rFonts w:ascii="Arial Nova" w:eastAsia="Times New Roman" w:hAnsi="Arial Nova" w:cs="Calibri"/>
                <w:color w:val="000000"/>
                <w:sz w:val="28"/>
                <w:szCs w:val="28"/>
                <w:lang w:eastAsia="en-GB"/>
              </w:rPr>
              <w:t>Internal and external applications are now combined within the same waiting list and live applications are now in Civica.</w:t>
            </w:r>
          </w:p>
          <w:p w14:paraId="0C734C78" w14:textId="77777777" w:rsidR="00946E40" w:rsidRPr="00946E40" w:rsidRDefault="00946E40" w:rsidP="00946E40">
            <w:pPr>
              <w:spacing w:after="0" w:line="240" w:lineRule="auto"/>
              <w:rPr>
                <w:rFonts w:ascii="Arial Nova" w:eastAsia="Times New Roman" w:hAnsi="Arial Nova" w:cs="Calibri"/>
                <w:color w:val="000000"/>
                <w:sz w:val="28"/>
                <w:szCs w:val="28"/>
                <w:lang w:eastAsia="en-GB"/>
              </w:rPr>
            </w:pPr>
            <w:r w:rsidRPr="00946E40">
              <w:rPr>
                <w:rFonts w:ascii="Arial Nova" w:eastAsia="Times New Roman" w:hAnsi="Arial Nova" w:cs="Calibri"/>
                <w:color w:val="000000"/>
                <w:sz w:val="28"/>
                <w:szCs w:val="28"/>
                <w:lang w:eastAsia="en-GB"/>
              </w:rPr>
              <w:t>There is work to do on 'pending' applications - i.e. applicants who have not returned proofs, or who did not respond to the invitation to complete the new Civica assessment form.</w:t>
            </w:r>
          </w:p>
          <w:p w14:paraId="3E493F3B" w14:textId="77777777" w:rsidR="00946E40" w:rsidRPr="00946E40" w:rsidRDefault="00946E40" w:rsidP="00946E40">
            <w:pPr>
              <w:spacing w:after="0" w:line="240" w:lineRule="auto"/>
              <w:rPr>
                <w:rFonts w:ascii="Arial Nova" w:eastAsia="Times New Roman" w:hAnsi="Arial Nova" w:cs="Calibri"/>
                <w:color w:val="000000"/>
                <w:sz w:val="28"/>
                <w:szCs w:val="28"/>
                <w:lang w:eastAsia="en-GB"/>
              </w:rPr>
            </w:pPr>
            <w:r w:rsidRPr="00946E40">
              <w:rPr>
                <w:rFonts w:ascii="Arial Nova" w:eastAsia="Times New Roman" w:hAnsi="Arial Nova" w:cs="Calibri"/>
                <w:color w:val="000000"/>
                <w:sz w:val="28"/>
                <w:szCs w:val="28"/>
                <w:lang w:eastAsia="en-GB"/>
              </w:rPr>
              <w:t>Over the coming weeks and months, we will contact all such applicants again and invite them to complete a new application via the Civica customer portal.</w:t>
            </w:r>
          </w:p>
          <w:p w14:paraId="709EE2A9" w14:textId="58D9B6BE" w:rsidR="007A56AE" w:rsidRPr="007A56AE" w:rsidRDefault="007A56AE" w:rsidP="007A56AE">
            <w:pPr>
              <w:spacing w:after="0" w:line="240" w:lineRule="auto"/>
              <w:rPr>
                <w:rFonts w:ascii="Arial Nova" w:eastAsia="Times New Roman" w:hAnsi="Arial Nova" w:cs="Calibri"/>
                <w:color w:val="000000" w:themeColor="text1"/>
                <w:sz w:val="28"/>
                <w:szCs w:val="28"/>
                <w:lang w:eastAsia="en-GB"/>
              </w:rPr>
            </w:pPr>
          </w:p>
        </w:tc>
      </w:tr>
      <w:tr w:rsidR="007A56AE" w:rsidRPr="009D662E" w14:paraId="5B9DA324" w14:textId="77777777" w:rsidTr="0079149E">
        <w:trPr>
          <w:trHeight w:val="1550"/>
        </w:trPr>
        <w:tc>
          <w:tcPr>
            <w:tcW w:w="9918" w:type="dxa"/>
            <w:tcBorders>
              <w:top w:val="single" w:sz="4" w:space="0" w:color="auto"/>
              <w:left w:val="single" w:sz="4" w:space="0" w:color="auto"/>
              <w:bottom w:val="single" w:sz="4" w:space="0" w:color="auto"/>
              <w:right w:val="single" w:sz="4" w:space="0" w:color="auto"/>
            </w:tcBorders>
            <w:shd w:val="clear" w:color="auto" w:fill="auto"/>
          </w:tcPr>
          <w:p w14:paraId="7C130555" w14:textId="15543EF5" w:rsidR="0079149E" w:rsidRPr="007A56AE" w:rsidRDefault="00432F17" w:rsidP="00DD66F1">
            <w:pPr>
              <w:spacing w:after="0" w:line="240" w:lineRule="auto"/>
              <w:rPr>
                <w:rFonts w:ascii="Arial Nova" w:hAnsi="Arial Nova" w:cs="Calibri"/>
                <w:color w:val="000000"/>
                <w:sz w:val="28"/>
                <w:szCs w:val="28"/>
              </w:rPr>
            </w:pPr>
            <w:r>
              <w:rPr>
                <w:rFonts w:ascii="Arial Nova" w:hAnsi="Arial Nova" w:cs="Calibri"/>
                <w:color w:val="000000"/>
                <w:sz w:val="28"/>
                <w:szCs w:val="28"/>
              </w:rPr>
              <w:lastRenderedPageBreak/>
              <w:t>I</w:t>
            </w:r>
            <w:r w:rsidR="0079149E" w:rsidRPr="0079149E">
              <w:rPr>
                <w:rFonts w:ascii="Arial Nova" w:hAnsi="Arial Nova" w:cs="Calibri"/>
                <w:color w:val="000000"/>
                <w:sz w:val="28"/>
                <w:szCs w:val="28"/>
              </w:rPr>
              <w:t>5. A full review of existing internal transfer applications to be undertaken using the principles of recommendation 4 including checking circumstances, points, area choices and associated paperwork ensuring clear record keeping</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B1796A8" w14:textId="44CAB524" w:rsidR="00946E40" w:rsidRPr="00301CB6" w:rsidRDefault="00946E40" w:rsidP="00946E40">
            <w:pPr>
              <w:spacing w:after="0" w:line="240" w:lineRule="auto"/>
              <w:rPr>
                <w:rFonts w:ascii="Arial Nova" w:eastAsia="Times New Roman" w:hAnsi="Arial Nova" w:cs="Calibri"/>
                <w:b/>
                <w:bCs/>
                <w:color w:val="000000"/>
                <w:sz w:val="28"/>
                <w:szCs w:val="28"/>
                <w:u w:val="single"/>
                <w:lang w:eastAsia="en-GB"/>
              </w:rPr>
            </w:pPr>
            <w:r w:rsidRPr="00301CB6">
              <w:rPr>
                <w:rFonts w:ascii="Arial Nova" w:eastAsia="Times New Roman" w:hAnsi="Arial Nova" w:cs="Calibri"/>
                <w:b/>
                <w:bCs/>
                <w:color w:val="000000" w:themeColor="text1"/>
                <w:sz w:val="28"/>
                <w:szCs w:val="28"/>
                <w:u w:val="single"/>
                <w:lang w:eastAsia="en-GB"/>
              </w:rPr>
              <w:t xml:space="preserve">Update – </w:t>
            </w:r>
            <w:r>
              <w:rPr>
                <w:rFonts w:ascii="Arial Nova" w:eastAsia="Times New Roman" w:hAnsi="Arial Nova" w:cs="Calibri"/>
                <w:b/>
                <w:bCs/>
                <w:color w:val="000000" w:themeColor="text1"/>
                <w:sz w:val="28"/>
                <w:szCs w:val="28"/>
                <w:u w:val="single"/>
                <w:lang w:eastAsia="en-GB"/>
              </w:rPr>
              <w:t>January</w:t>
            </w:r>
            <w:r w:rsidR="00EE3211">
              <w:rPr>
                <w:rFonts w:ascii="Arial Nova" w:eastAsia="Times New Roman" w:hAnsi="Arial Nova" w:cs="Calibri"/>
                <w:b/>
                <w:bCs/>
                <w:color w:val="000000" w:themeColor="text1"/>
                <w:sz w:val="28"/>
                <w:szCs w:val="28"/>
                <w:u w:val="single"/>
                <w:lang w:eastAsia="en-GB"/>
              </w:rPr>
              <w:t xml:space="preserve"> 2025 </w:t>
            </w:r>
            <w:r w:rsidRPr="00301CB6">
              <w:rPr>
                <w:rFonts w:ascii="Arial Nova" w:eastAsia="Times New Roman" w:hAnsi="Arial Nova" w:cs="Calibri"/>
                <w:b/>
                <w:bCs/>
                <w:color w:val="000000" w:themeColor="text1"/>
                <w:sz w:val="28"/>
                <w:szCs w:val="28"/>
                <w:u w:val="single"/>
                <w:lang w:eastAsia="en-GB"/>
              </w:rPr>
              <w:t xml:space="preserve">– </w:t>
            </w:r>
            <w:r>
              <w:rPr>
                <w:rFonts w:ascii="Arial Nova" w:eastAsia="Times New Roman" w:hAnsi="Arial Nova" w:cs="Calibri"/>
                <w:b/>
                <w:bCs/>
                <w:color w:val="000000" w:themeColor="text1"/>
                <w:sz w:val="28"/>
                <w:szCs w:val="28"/>
                <w:u w:val="single"/>
                <w:lang w:eastAsia="en-GB"/>
              </w:rPr>
              <w:t>Complete</w:t>
            </w:r>
          </w:p>
          <w:p w14:paraId="73854B10" w14:textId="30DF388F" w:rsidR="007A56AE" w:rsidRPr="0079149E" w:rsidRDefault="00D637B9" w:rsidP="007A56AE">
            <w:pPr>
              <w:spacing w:after="0" w:line="240" w:lineRule="auto"/>
              <w:rPr>
                <w:rFonts w:ascii="Arial Nova" w:eastAsia="Times New Roman" w:hAnsi="Arial Nova" w:cs="Calibri"/>
                <w:color w:val="000000"/>
                <w:sz w:val="28"/>
                <w:szCs w:val="28"/>
                <w:lang w:eastAsia="en-GB"/>
              </w:rPr>
            </w:pPr>
            <w:r w:rsidRPr="00D637B9">
              <w:rPr>
                <w:rFonts w:ascii="Arial Nova" w:eastAsia="Times New Roman" w:hAnsi="Arial Nova" w:cs="Calibri"/>
                <w:color w:val="000000"/>
                <w:sz w:val="28"/>
                <w:szCs w:val="28"/>
                <w:lang w:eastAsia="en-GB"/>
              </w:rPr>
              <w:t>All existing transfer applicants have received review forms so that they can be assessed under the proposed post-Civica go live system. All new internal transfer applicants are being assessed both under the existing assessment system, and the one which will be used when Civica goes live. This is so that the correct information will be held in Civica and internal applicants will show on the list just as external applicants will do. All other related processes remain the same - home visits, assurance form, information on areas chosen and demand levels etc.</w:t>
            </w:r>
            <w:r w:rsidR="000312A3" w:rsidRPr="000312A3">
              <w:rPr>
                <w:rFonts w:ascii="Segoe UI" w:hAnsi="Segoe UI" w:cs="Segoe UI"/>
                <w:color w:val="323130"/>
                <w:sz w:val="21"/>
                <w:szCs w:val="21"/>
                <w:shd w:val="clear" w:color="auto" w:fill="FFFFFF"/>
              </w:rPr>
              <w:t xml:space="preserve"> </w:t>
            </w:r>
            <w:r w:rsidR="000312A3" w:rsidRPr="000312A3">
              <w:rPr>
                <w:rFonts w:ascii="Arial Nova" w:eastAsia="Times New Roman" w:hAnsi="Arial Nova" w:cs="Calibri"/>
                <w:color w:val="000000"/>
                <w:sz w:val="28"/>
                <w:szCs w:val="28"/>
                <w:lang w:eastAsia="en-GB"/>
              </w:rPr>
              <w:t>All those who returned their Civica form have been reassessed under the Civica assessment process,</w:t>
            </w:r>
            <w:r w:rsidR="000312A3">
              <w:rPr>
                <w:rFonts w:ascii="Arial Nova" w:eastAsia="Times New Roman" w:hAnsi="Arial Nova" w:cs="Calibri"/>
                <w:color w:val="000000"/>
                <w:sz w:val="28"/>
                <w:szCs w:val="28"/>
                <w:lang w:eastAsia="en-GB"/>
              </w:rPr>
              <w:t xml:space="preserve"> </w:t>
            </w:r>
            <w:r w:rsidR="000312A3" w:rsidRPr="000312A3">
              <w:rPr>
                <w:rFonts w:ascii="Arial Nova" w:eastAsia="Times New Roman" w:hAnsi="Arial Nova" w:cs="Calibri"/>
                <w:color w:val="000000"/>
                <w:sz w:val="28"/>
                <w:szCs w:val="28"/>
                <w:lang w:eastAsia="en-GB"/>
              </w:rPr>
              <w:t>and have live applications on Civica.</w:t>
            </w:r>
          </w:p>
        </w:tc>
      </w:tr>
    </w:tbl>
    <w:p w14:paraId="53E93A3B" w14:textId="77777777" w:rsidR="008B5D6E" w:rsidRPr="00301CB6" w:rsidRDefault="008B5D6E" w:rsidP="00763DCD">
      <w:pPr>
        <w:rPr>
          <w:rFonts w:ascii="Arial Nova" w:hAnsi="Arial Nova"/>
          <w:sz w:val="28"/>
          <w:szCs w:val="28"/>
        </w:rPr>
      </w:pPr>
    </w:p>
    <w:sectPr w:rsidR="008B5D6E" w:rsidRPr="00301CB6" w:rsidSect="00C025F7">
      <w:headerReference w:type="default" r:id="rId11"/>
      <w:footerReference w:type="default" r:id="rId12"/>
      <w:pgSz w:w="16838" w:h="11906" w:orient="landscape"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8CA56" w14:textId="77777777" w:rsidR="008D1701" w:rsidRDefault="008D1701" w:rsidP="009D662E">
      <w:pPr>
        <w:spacing w:after="0" w:line="240" w:lineRule="auto"/>
      </w:pPr>
      <w:r>
        <w:separator/>
      </w:r>
    </w:p>
  </w:endnote>
  <w:endnote w:type="continuationSeparator" w:id="0">
    <w:p w14:paraId="5E4EA40E" w14:textId="77777777" w:rsidR="008D1701" w:rsidRDefault="008D1701" w:rsidP="009D662E">
      <w:pPr>
        <w:spacing w:after="0" w:line="240" w:lineRule="auto"/>
      </w:pPr>
      <w:r>
        <w:continuationSeparator/>
      </w:r>
    </w:p>
  </w:endnote>
  <w:endnote w:type="continuationNotice" w:id="1">
    <w:p w14:paraId="214E21E3" w14:textId="77777777" w:rsidR="008D1701" w:rsidRDefault="008D17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007764"/>
      <w:docPartObj>
        <w:docPartGallery w:val="Page Numbers (Bottom of Page)"/>
        <w:docPartUnique/>
      </w:docPartObj>
    </w:sdtPr>
    <w:sdtEndPr>
      <w:rPr>
        <w:noProof/>
      </w:rPr>
    </w:sdtEndPr>
    <w:sdtContent>
      <w:p w14:paraId="79D42E87" w14:textId="04A9AD5D" w:rsidR="009D662E" w:rsidRDefault="009D662E">
        <w:pPr>
          <w:pStyle w:val="Footer"/>
        </w:pPr>
        <w:r>
          <w:fldChar w:fldCharType="begin"/>
        </w:r>
        <w:r>
          <w:instrText xml:space="preserve"> PAGE   \* MERGEFORMAT </w:instrText>
        </w:r>
        <w:r>
          <w:fldChar w:fldCharType="separate"/>
        </w:r>
        <w:r>
          <w:rPr>
            <w:noProof/>
          </w:rPr>
          <w:t>2</w:t>
        </w:r>
        <w:r>
          <w:rPr>
            <w:noProof/>
          </w:rPr>
          <w:fldChar w:fldCharType="end"/>
        </w:r>
      </w:p>
    </w:sdtContent>
  </w:sdt>
  <w:p w14:paraId="4C5BEB02" w14:textId="77777777" w:rsidR="009D662E" w:rsidRPr="009D662E" w:rsidRDefault="009D662E" w:rsidP="009D66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2608C" w14:textId="77777777" w:rsidR="008D1701" w:rsidRDefault="008D1701" w:rsidP="009D662E">
      <w:pPr>
        <w:spacing w:after="0" w:line="240" w:lineRule="auto"/>
      </w:pPr>
      <w:r>
        <w:separator/>
      </w:r>
    </w:p>
  </w:footnote>
  <w:footnote w:type="continuationSeparator" w:id="0">
    <w:p w14:paraId="19447FDA" w14:textId="77777777" w:rsidR="008D1701" w:rsidRDefault="008D1701" w:rsidP="009D662E">
      <w:pPr>
        <w:spacing w:after="0" w:line="240" w:lineRule="auto"/>
      </w:pPr>
      <w:r>
        <w:continuationSeparator/>
      </w:r>
    </w:p>
  </w:footnote>
  <w:footnote w:type="continuationNotice" w:id="1">
    <w:p w14:paraId="615F86CD" w14:textId="77777777" w:rsidR="008D1701" w:rsidRDefault="008D17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2B524" w14:textId="66A82C71" w:rsidR="009D662E" w:rsidRPr="009E0C7C" w:rsidRDefault="009D662E" w:rsidP="009D662E">
    <w:pPr>
      <w:jc w:val="center"/>
      <w:rPr>
        <w:rFonts w:ascii="Arial Nova" w:hAnsi="Arial Nova"/>
        <w:b/>
        <w:bCs/>
        <w:sz w:val="28"/>
        <w:szCs w:val="28"/>
      </w:rPr>
    </w:pPr>
    <w:r w:rsidRPr="009E0C7C">
      <w:rPr>
        <w:rFonts w:ascii="Arial Nova" w:hAnsi="Arial Nova"/>
        <w:b/>
        <w:bCs/>
        <w:sz w:val="28"/>
        <w:szCs w:val="28"/>
      </w:rPr>
      <w:t xml:space="preserve">Scrutiny Recommendations </w:t>
    </w:r>
    <w:r w:rsidR="002F2806">
      <w:rPr>
        <w:rFonts w:ascii="Arial Nova" w:hAnsi="Arial Nova"/>
        <w:b/>
        <w:bCs/>
        <w:sz w:val="28"/>
        <w:szCs w:val="28"/>
      </w:rPr>
      <w:t xml:space="preserve">– </w:t>
    </w:r>
    <w:r w:rsidR="0079149E">
      <w:rPr>
        <w:rFonts w:ascii="Arial Nova" w:hAnsi="Arial Nova"/>
        <w:b/>
        <w:bCs/>
        <w:sz w:val="28"/>
        <w:szCs w:val="28"/>
      </w:rPr>
      <w:t>Internal Transfers</w:t>
    </w:r>
    <w:r w:rsidR="002F2806">
      <w:rPr>
        <w:rFonts w:ascii="Arial Nova" w:hAnsi="Arial Nova"/>
        <w:b/>
        <w:bCs/>
        <w:sz w:val="28"/>
        <w:szCs w:val="28"/>
      </w:rPr>
      <w:t xml:space="preserve"> Review </w:t>
    </w:r>
    <w:r w:rsidR="002B0424" w:rsidRPr="009E0C7C">
      <w:rPr>
        <w:rFonts w:ascii="Arial Nova" w:hAnsi="Arial Nova"/>
        <w:b/>
        <w:bCs/>
        <w:sz w:val="28"/>
        <w:szCs w:val="28"/>
      </w:rPr>
      <w:t>Update</w:t>
    </w:r>
    <w:r w:rsidRPr="009E0C7C">
      <w:rPr>
        <w:rFonts w:ascii="Arial Nova" w:hAnsi="Arial Nova"/>
        <w:b/>
        <w:bCs/>
        <w:sz w:val="28"/>
        <w:szCs w:val="28"/>
      </w:rPr>
      <w:t xml:space="preserve"> – </w:t>
    </w:r>
    <w:r w:rsidR="000312A3">
      <w:rPr>
        <w:rFonts w:ascii="Arial Nova" w:hAnsi="Arial Nova"/>
        <w:b/>
        <w:bCs/>
        <w:sz w:val="28"/>
        <w:szCs w:val="28"/>
      </w:rPr>
      <w:t>January 2025</w:t>
    </w:r>
  </w:p>
  <w:p w14:paraId="7D03434E" w14:textId="77777777" w:rsidR="009D662E" w:rsidRPr="009E0C7C" w:rsidRDefault="009D662E">
    <w:pPr>
      <w:pStyle w:val="Header"/>
      <w:rPr>
        <w:rFonts w:ascii="Arial Nova" w:hAnsi="Arial Nov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B75F7"/>
    <w:multiLevelType w:val="hybridMultilevel"/>
    <w:tmpl w:val="94341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BA6515"/>
    <w:multiLevelType w:val="hybridMultilevel"/>
    <w:tmpl w:val="512C8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F34519"/>
    <w:multiLevelType w:val="hybridMultilevel"/>
    <w:tmpl w:val="1B142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F95215"/>
    <w:multiLevelType w:val="hybridMultilevel"/>
    <w:tmpl w:val="6EA2B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0394336">
    <w:abstractNumId w:val="1"/>
  </w:num>
  <w:num w:numId="2" w16cid:durableId="1520123728">
    <w:abstractNumId w:val="0"/>
  </w:num>
  <w:num w:numId="3" w16cid:durableId="1117333234">
    <w:abstractNumId w:val="2"/>
  </w:num>
  <w:num w:numId="4" w16cid:durableId="56416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62E"/>
    <w:rsid w:val="00011740"/>
    <w:rsid w:val="00012992"/>
    <w:rsid w:val="00021369"/>
    <w:rsid w:val="000312A3"/>
    <w:rsid w:val="000327D1"/>
    <w:rsid w:val="00036518"/>
    <w:rsid w:val="0004190A"/>
    <w:rsid w:val="00052178"/>
    <w:rsid w:val="00055755"/>
    <w:rsid w:val="00064172"/>
    <w:rsid w:val="00067459"/>
    <w:rsid w:val="000818C8"/>
    <w:rsid w:val="000821BC"/>
    <w:rsid w:val="000837B6"/>
    <w:rsid w:val="00085111"/>
    <w:rsid w:val="00086EBB"/>
    <w:rsid w:val="000925B9"/>
    <w:rsid w:val="00092DE6"/>
    <w:rsid w:val="00093786"/>
    <w:rsid w:val="000D5148"/>
    <w:rsid w:val="000E11EB"/>
    <w:rsid w:val="000E6ADF"/>
    <w:rsid w:val="000EB865"/>
    <w:rsid w:val="000F188F"/>
    <w:rsid w:val="001417CE"/>
    <w:rsid w:val="00147691"/>
    <w:rsid w:val="00152CF5"/>
    <w:rsid w:val="00154B71"/>
    <w:rsid w:val="001627F3"/>
    <w:rsid w:val="00172190"/>
    <w:rsid w:val="00177243"/>
    <w:rsid w:val="0018759F"/>
    <w:rsid w:val="001909B2"/>
    <w:rsid w:val="001A56DE"/>
    <w:rsid w:val="001B0CE3"/>
    <w:rsid w:val="001C671E"/>
    <w:rsid w:val="001C6D84"/>
    <w:rsid w:val="001D0C94"/>
    <w:rsid w:val="001E042C"/>
    <w:rsid w:val="001F7E5F"/>
    <w:rsid w:val="0020255B"/>
    <w:rsid w:val="00202AA9"/>
    <w:rsid w:val="002400AF"/>
    <w:rsid w:val="0024187B"/>
    <w:rsid w:val="00243AA8"/>
    <w:rsid w:val="002703FD"/>
    <w:rsid w:val="00270C53"/>
    <w:rsid w:val="00275404"/>
    <w:rsid w:val="002852B6"/>
    <w:rsid w:val="00287B2D"/>
    <w:rsid w:val="002A029E"/>
    <w:rsid w:val="002A3BDA"/>
    <w:rsid w:val="002A6631"/>
    <w:rsid w:val="002B0424"/>
    <w:rsid w:val="002C0187"/>
    <w:rsid w:val="002C26FB"/>
    <w:rsid w:val="002D4C59"/>
    <w:rsid w:val="002D7774"/>
    <w:rsid w:val="002F2806"/>
    <w:rsid w:val="00301CB6"/>
    <w:rsid w:val="00321509"/>
    <w:rsid w:val="003357EB"/>
    <w:rsid w:val="0034118E"/>
    <w:rsid w:val="00341AB0"/>
    <w:rsid w:val="00341D38"/>
    <w:rsid w:val="00353924"/>
    <w:rsid w:val="00355042"/>
    <w:rsid w:val="00363892"/>
    <w:rsid w:val="00374E9C"/>
    <w:rsid w:val="00376F43"/>
    <w:rsid w:val="003C4542"/>
    <w:rsid w:val="003C78BF"/>
    <w:rsid w:val="003D0440"/>
    <w:rsid w:val="003D32DC"/>
    <w:rsid w:val="003D451C"/>
    <w:rsid w:val="003E2948"/>
    <w:rsid w:val="003E347C"/>
    <w:rsid w:val="003F0DBC"/>
    <w:rsid w:val="003F150A"/>
    <w:rsid w:val="003F4F54"/>
    <w:rsid w:val="004016F3"/>
    <w:rsid w:val="00403843"/>
    <w:rsid w:val="00411E93"/>
    <w:rsid w:val="00412584"/>
    <w:rsid w:val="00431107"/>
    <w:rsid w:val="00432F17"/>
    <w:rsid w:val="00436F2A"/>
    <w:rsid w:val="004424C7"/>
    <w:rsid w:val="004471FB"/>
    <w:rsid w:val="004509EE"/>
    <w:rsid w:val="00453792"/>
    <w:rsid w:val="00465A97"/>
    <w:rsid w:val="00493062"/>
    <w:rsid w:val="004947C1"/>
    <w:rsid w:val="004A75BA"/>
    <w:rsid w:val="004D2D31"/>
    <w:rsid w:val="004D51D7"/>
    <w:rsid w:val="004E47A8"/>
    <w:rsid w:val="004E72DD"/>
    <w:rsid w:val="004F40C6"/>
    <w:rsid w:val="005041CA"/>
    <w:rsid w:val="00507B0C"/>
    <w:rsid w:val="0051084E"/>
    <w:rsid w:val="005259E1"/>
    <w:rsid w:val="00526A2B"/>
    <w:rsid w:val="005331E4"/>
    <w:rsid w:val="0053499B"/>
    <w:rsid w:val="00536DA1"/>
    <w:rsid w:val="00541903"/>
    <w:rsid w:val="00544D12"/>
    <w:rsid w:val="00546926"/>
    <w:rsid w:val="005626C5"/>
    <w:rsid w:val="00565970"/>
    <w:rsid w:val="00566070"/>
    <w:rsid w:val="00584A77"/>
    <w:rsid w:val="005B024B"/>
    <w:rsid w:val="005E1EBE"/>
    <w:rsid w:val="005F4857"/>
    <w:rsid w:val="005F7003"/>
    <w:rsid w:val="006007B8"/>
    <w:rsid w:val="006100EF"/>
    <w:rsid w:val="0061500B"/>
    <w:rsid w:val="00623B02"/>
    <w:rsid w:val="00625149"/>
    <w:rsid w:val="00631728"/>
    <w:rsid w:val="00633E3D"/>
    <w:rsid w:val="006540EA"/>
    <w:rsid w:val="00661DF3"/>
    <w:rsid w:val="00681131"/>
    <w:rsid w:val="00684DD1"/>
    <w:rsid w:val="00686D05"/>
    <w:rsid w:val="00687D26"/>
    <w:rsid w:val="00691207"/>
    <w:rsid w:val="006C3D0A"/>
    <w:rsid w:val="006D1F30"/>
    <w:rsid w:val="006D43FB"/>
    <w:rsid w:val="006D60ED"/>
    <w:rsid w:val="006E48A7"/>
    <w:rsid w:val="006F7B94"/>
    <w:rsid w:val="007016A6"/>
    <w:rsid w:val="00711904"/>
    <w:rsid w:val="00713FC0"/>
    <w:rsid w:val="00715EBD"/>
    <w:rsid w:val="00715F14"/>
    <w:rsid w:val="00720D06"/>
    <w:rsid w:val="00721609"/>
    <w:rsid w:val="00725D65"/>
    <w:rsid w:val="007355A2"/>
    <w:rsid w:val="00736894"/>
    <w:rsid w:val="00755D95"/>
    <w:rsid w:val="007616D2"/>
    <w:rsid w:val="00763DCD"/>
    <w:rsid w:val="00766C56"/>
    <w:rsid w:val="00774584"/>
    <w:rsid w:val="0079149E"/>
    <w:rsid w:val="00793804"/>
    <w:rsid w:val="00797DBD"/>
    <w:rsid w:val="007A56AE"/>
    <w:rsid w:val="007B549A"/>
    <w:rsid w:val="007C2E01"/>
    <w:rsid w:val="007C6431"/>
    <w:rsid w:val="007D14B8"/>
    <w:rsid w:val="007F3005"/>
    <w:rsid w:val="007F466E"/>
    <w:rsid w:val="007F7D48"/>
    <w:rsid w:val="00824B45"/>
    <w:rsid w:val="0082531E"/>
    <w:rsid w:val="008279D0"/>
    <w:rsid w:val="008331A1"/>
    <w:rsid w:val="00840467"/>
    <w:rsid w:val="00842D73"/>
    <w:rsid w:val="00850239"/>
    <w:rsid w:val="00852ECA"/>
    <w:rsid w:val="00853109"/>
    <w:rsid w:val="008620C1"/>
    <w:rsid w:val="00864CEC"/>
    <w:rsid w:val="00880BCA"/>
    <w:rsid w:val="00880E3B"/>
    <w:rsid w:val="008842F1"/>
    <w:rsid w:val="008A4372"/>
    <w:rsid w:val="008A4C7C"/>
    <w:rsid w:val="008B3CF4"/>
    <w:rsid w:val="008B5D6E"/>
    <w:rsid w:val="008C3181"/>
    <w:rsid w:val="008D1701"/>
    <w:rsid w:val="008D407D"/>
    <w:rsid w:val="008D5DD8"/>
    <w:rsid w:val="008E38E8"/>
    <w:rsid w:val="008F6821"/>
    <w:rsid w:val="00901BBE"/>
    <w:rsid w:val="00902C82"/>
    <w:rsid w:val="00903836"/>
    <w:rsid w:val="00903D1B"/>
    <w:rsid w:val="00907B07"/>
    <w:rsid w:val="00917038"/>
    <w:rsid w:val="009204AE"/>
    <w:rsid w:val="009263BC"/>
    <w:rsid w:val="0094553A"/>
    <w:rsid w:val="00946E40"/>
    <w:rsid w:val="00955E86"/>
    <w:rsid w:val="00971226"/>
    <w:rsid w:val="009716BE"/>
    <w:rsid w:val="00972B28"/>
    <w:rsid w:val="009734B5"/>
    <w:rsid w:val="00986825"/>
    <w:rsid w:val="0099553B"/>
    <w:rsid w:val="009A2457"/>
    <w:rsid w:val="009A2EED"/>
    <w:rsid w:val="009C72EB"/>
    <w:rsid w:val="009D662E"/>
    <w:rsid w:val="009E0C7C"/>
    <w:rsid w:val="009E512F"/>
    <w:rsid w:val="00A3145D"/>
    <w:rsid w:val="00A32055"/>
    <w:rsid w:val="00A414D3"/>
    <w:rsid w:val="00A41681"/>
    <w:rsid w:val="00A42D69"/>
    <w:rsid w:val="00A4454C"/>
    <w:rsid w:val="00A50893"/>
    <w:rsid w:val="00A64F85"/>
    <w:rsid w:val="00A75F45"/>
    <w:rsid w:val="00A770B5"/>
    <w:rsid w:val="00A93BC9"/>
    <w:rsid w:val="00AA2CA8"/>
    <w:rsid w:val="00AA5463"/>
    <w:rsid w:val="00AB2A2D"/>
    <w:rsid w:val="00AC1B10"/>
    <w:rsid w:val="00AC6428"/>
    <w:rsid w:val="00AE2DF9"/>
    <w:rsid w:val="00AF180F"/>
    <w:rsid w:val="00B0511E"/>
    <w:rsid w:val="00B112F0"/>
    <w:rsid w:val="00B3077E"/>
    <w:rsid w:val="00B43D7F"/>
    <w:rsid w:val="00B44F89"/>
    <w:rsid w:val="00B45B6D"/>
    <w:rsid w:val="00B52487"/>
    <w:rsid w:val="00B62178"/>
    <w:rsid w:val="00B64589"/>
    <w:rsid w:val="00B67224"/>
    <w:rsid w:val="00B7536D"/>
    <w:rsid w:val="00B91398"/>
    <w:rsid w:val="00BA1BC0"/>
    <w:rsid w:val="00BB5AEB"/>
    <w:rsid w:val="00BC2963"/>
    <w:rsid w:val="00BC3471"/>
    <w:rsid w:val="00BC492A"/>
    <w:rsid w:val="00BE4708"/>
    <w:rsid w:val="00C025F7"/>
    <w:rsid w:val="00C211A1"/>
    <w:rsid w:val="00C22485"/>
    <w:rsid w:val="00C355F6"/>
    <w:rsid w:val="00C41D92"/>
    <w:rsid w:val="00C41E7D"/>
    <w:rsid w:val="00C71DF9"/>
    <w:rsid w:val="00C720EA"/>
    <w:rsid w:val="00C72DAA"/>
    <w:rsid w:val="00C75DD5"/>
    <w:rsid w:val="00C764A9"/>
    <w:rsid w:val="00C77ECE"/>
    <w:rsid w:val="00C803AE"/>
    <w:rsid w:val="00C82250"/>
    <w:rsid w:val="00C927C3"/>
    <w:rsid w:val="00C92E1C"/>
    <w:rsid w:val="00CA6C35"/>
    <w:rsid w:val="00CC468D"/>
    <w:rsid w:val="00CD1744"/>
    <w:rsid w:val="00CD2EB6"/>
    <w:rsid w:val="00CD4419"/>
    <w:rsid w:val="00CD5AA6"/>
    <w:rsid w:val="00CE1FCC"/>
    <w:rsid w:val="00CF5C2B"/>
    <w:rsid w:val="00CF618A"/>
    <w:rsid w:val="00D1126C"/>
    <w:rsid w:val="00D15442"/>
    <w:rsid w:val="00D203E8"/>
    <w:rsid w:val="00D20906"/>
    <w:rsid w:val="00D26584"/>
    <w:rsid w:val="00D436E4"/>
    <w:rsid w:val="00D53911"/>
    <w:rsid w:val="00D5546B"/>
    <w:rsid w:val="00D603DA"/>
    <w:rsid w:val="00D637B9"/>
    <w:rsid w:val="00D73597"/>
    <w:rsid w:val="00D76498"/>
    <w:rsid w:val="00D770BF"/>
    <w:rsid w:val="00D8048A"/>
    <w:rsid w:val="00D95FB6"/>
    <w:rsid w:val="00DA0EC4"/>
    <w:rsid w:val="00DB11D2"/>
    <w:rsid w:val="00DB201D"/>
    <w:rsid w:val="00DC2AA4"/>
    <w:rsid w:val="00DD0ABA"/>
    <w:rsid w:val="00DD3B28"/>
    <w:rsid w:val="00DD531E"/>
    <w:rsid w:val="00DE037F"/>
    <w:rsid w:val="00DE04BC"/>
    <w:rsid w:val="00DF195C"/>
    <w:rsid w:val="00DF7D5A"/>
    <w:rsid w:val="00DF7DF3"/>
    <w:rsid w:val="00E07728"/>
    <w:rsid w:val="00E12F87"/>
    <w:rsid w:val="00E13B3B"/>
    <w:rsid w:val="00E1667F"/>
    <w:rsid w:val="00E1794A"/>
    <w:rsid w:val="00E356BB"/>
    <w:rsid w:val="00E364D2"/>
    <w:rsid w:val="00E44950"/>
    <w:rsid w:val="00E457B9"/>
    <w:rsid w:val="00E516B9"/>
    <w:rsid w:val="00E6126E"/>
    <w:rsid w:val="00E6331A"/>
    <w:rsid w:val="00E66CD8"/>
    <w:rsid w:val="00E67BF9"/>
    <w:rsid w:val="00E745E5"/>
    <w:rsid w:val="00E7576A"/>
    <w:rsid w:val="00E83F7E"/>
    <w:rsid w:val="00E919A6"/>
    <w:rsid w:val="00E93FCF"/>
    <w:rsid w:val="00E948B2"/>
    <w:rsid w:val="00EA0E57"/>
    <w:rsid w:val="00EB3E81"/>
    <w:rsid w:val="00EC2C1C"/>
    <w:rsid w:val="00ED5C5E"/>
    <w:rsid w:val="00EE3211"/>
    <w:rsid w:val="00EF5B47"/>
    <w:rsid w:val="00F0441B"/>
    <w:rsid w:val="00F064AA"/>
    <w:rsid w:val="00F068F7"/>
    <w:rsid w:val="00F10CF3"/>
    <w:rsid w:val="00F146A5"/>
    <w:rsid w:val="00F25A82"/>
    <w:rsid w:val="00F41CAF"/>
    <w:rsid w:val="00F50E79"/>
    <w:rsid w:val="00F64014"/>
    <w:rsid w:val="00F65FBC"/>
    <w:rsid w:val="00F73102"/>
    <w:rsid w:val="00F74C16"/>
    <w:rsid w:val="00F84192"/>
    <w:rsid w:val="00FA42F5"/>
    <w:rsid w:val="00FB6515"/>
    <w:rsid w:val="00FD45B6"/>
    <w:rsid w:val="00FE21D1"/>
    <w:rsid w:val="00FE313A"/>
    <w:rsid w:val="00FE7B80"/>
    <w:rsid w:val="00FF1A06"/>
    <w:rsid w:val="00FF7274"/>
    <w:rsid w:val="010D9215"/>
    <w:rsid w:val="021814F2"/>
    <w:rsid w:val="02B93C87"/>
    <w:rsid w:val="0782F6B3"/>
    <w:rsid w:val="087EAB56"/>
    <w:rsid w:val="08AE82A2"/>
    <w:rsid w:val="09C75D7D"/>
    <w:rsid w:val="0A8E890B"/>
    <w:rsid w:val="0AB8F8FB"/>
    <w:rsid w:val="0B34E0F3"/>
    <w:rsid w:val="0C34F703"/>
    <w:rsid w:val="0C42B0A9"/>
    <w:rsid w:val="0E569465"/>
    <w:rsid w:val="0FD2D0BA"/>
    <w:rsid w:val="120966D0"/>
    <w:rsid w:val="13E44FAA"/>
    <w:rsid w:val="14541449"/>
    <w:rsid w:val="15AC05CC"/>
    <w:rsid w:val="1846DF7F"/>
    <w:rsid w:val="18499E6C"/>
    <w:rsid w:val="1C9E5D6B"/>
    <w:rsid w:val="1E0EAB0D"/>
    <w:rsid w:val="1E6EE9AA"/>
    <w:rsid w:val="1E885539"/>
    <w:rsid w:val="20CF2BEA"/>
    <w:rsid w:val="21F080B2"/>
    <w:rsid w:val="223F5A36"/>
    <w:rsid w:val="2286253B"/>
    <w:rsid w:val="229DBCB9"/>
    <w:rsid w:val="2421F59C"/>
    <w:rsid w:val="25BDC5FD"/>
    <w:rsid w:val="2759965E"/>
    <w:rsid w:val="287C736B"/>
    <w:rsid w:val="28803FE4"/>
    <w:rsid w:val="292C6E5F"/>
    <w:rsid w:val="2B9121B2"/>
    <w:rsid w:val="2BE26E5A"/>
    <w:rsid w:val="2C13DF24"/>
    <w:rsid w:val="2C586762"/>
    <w:rsid w:val="2EF603CF"/>
    <w:rsid w:val="2F6C6216"/>
    <w:rsid w:val="30C91DF9"/>
    <w:rsid w:val="328F5466"/>
    <w:rsid w:val="36A86EDE"/>
    <w:rsid w:val="3786DA1A"/>
    <w:rsid w:val="379B87D8"/>
    <w:rsid w:val="39375839"/>
    <w:rsid w:val="3AD3289A"/>
    <w:rsid w:val="3D4BEAD2"/>
    <w:rsid w:val="3E40A2EE"/>
    <w:rsid w:val="3FA699BD"/>
    <w:rsid w:val="40865291"/>
    <w:rsid w:val="416A501D"/>
    <w:rsid w:val="41B9BFFF"/>
    <w:rsid w:val="4378AF03"/>
    <w:rsid w:val="447A0AE0"/>
    <w:rsid w:val="4C487803"/>
    <w:rsid w:val="4C4FCE11"/>
    <w:rsid w:val="5156E60D"/>
    <w:rsid w:val="51965500"/>
    <w:rsid w:val="525216EC"/>
    <w:rsid w:val="549EA7F5"/>
    <w:rsid w:val="54CDF5C2"/>
    <w:rsid w:val="582EE6C9"/>
    <w:rsid w:val="588BCBEF"/>
    <w:rsid w:val="5B8DA28B"/>
    <w:rsid w:val="5B9C4501"/>
    <w:rsid w:val="5DAA3C2E"/>
    <w:rsid w:val="5DF97839"/>
    <w:rsid w:val="5F592A7C"/>
    <w:rsid w:val="61C02D48"/>
    <w:rsid w:val="623A6AA7"/>
    <w:rsid w:val="632F20CE"/>
    <w:rsid w:val="6406328C"/>
    <w:rsid w:val="6A87538B"/>
    <w:rsid w:val="6BF81C14"/>
    <w:rsid w:val="6E8587F3"/>
    <w:rsid w:val="7130CC42"/>
    <w:rsid w:val="7314999F"/>
    <w:rsid w:val="74B2C95B"/>
    <w:rsid w:val="75D4998E"/>
    <w:rsid w:val="77777E18"/>
    <w:rsid w:val="77F15574"/>
    <w:rsid w:val="7831E370"/>
    <w:rsid w:val="7941B5A2"/>
    <w:rsid w:val="7AC40304"/>
    <w:rsid w:val="7BB17E8D"/>
    <w:rsid w:val="7DC6C17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5CA182"/>
  <w15:chartTrackingRefBased/>
  <w15:docId w15:val="{63E7C3AA-20BC-4BCB-9C8A-28C26A389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66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662E"/>
  </w:style>
  <w:style w:type="paragraph" w:styleId="Footer">
    <w:name w:val="footer"/>
    <w:basedOn w:val="Normal"/>
    <w:link w:val="FooterChar"/>
    <w:uiPriority w:val="99"/>
    <w:unhideWhenUsed/>
    <w:rsid w:val="009D66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662E"/>
  </w:style>
  <w:style w:type="paragraph" w:styleId="ListParagraph">
    <w:name w:val="List Paragraph"/>
    <w:basedOn w:val="Normal"/>
    <w:uiPriority w:val="34"/>
    <w:qFormat/>
    <w:rsid w:val="000327D1"/>
    <w:pPr>
      <w:ind w:left="720"/>
      <w:contextualSpacing/>
    </w:pPr>
  </w:style>
  <w:style w:type="character" w:styleId="CommentReference">
    <w:name w:val="annotation reference"/>
    <w:basedOn w:val="DefaultParagraphFont"/>
    <w:uiPriority w:val="99"/>
    <w:semiHidden/>
    <w:unhideWhenUsed/>
    <w:rsid w:val="00A770B5"/>
    <w:rPr>
      <w:sz w:val="16"/>
      <w:szCs w:val="16"/>
    </w:rPr>
  </w:style>
  <w:style w:type="paragraph" w:styleId="CommentText">
    <w:name w:val="annotation text"/>
    <w:basedOn w:val="Normal"/>
    <w:link w:val="CommentTextChar"/>
    <w:uiPriority w:val="99"/>
    <w:unhideWhenUsed/>
    <w:rsid w:val="00A770B5"/>
    <w:pPr>
      <w:spacing w:line="240" w:lineRule="auto"/>
    </w:pPr>
    <w:rPr>
      <w:sz w:val="20"/>
      <w:szCs w:val="20"/>
    </w:rPr>
  </w:style>
  <w:style w:type="character" w:customStyle="1" w:styleId="CommentTextChar">
    <w:name w:val="Comment Text Char"/>
    <w:basedOn w:val="DefaultParagraphFont"/>
    <w:link w:val="CommentText"/>
    <w:uiPriority w:val="99"/>
    <w:rsid w:val="00A770B5"/>
    <w:rPr>
      <w:sz w:val="20"/>
      <w:szCs w:val="20"/>
    </w:rPr>
  </w:style>
  <w:style w:type="paragraph" w:styleId="CommentSubject">
    <w:name w:val="annotation subject"/>
    <w:basedOn w:val="CommentText"/>
    <w:next w:val="CommentText"/>
    <w:link w:val="CommentSubjectChar"/>
    <w:uiPriority w:val="99"/>
    <w:semiHidden/>
    <w:unhideWhenUsed/>
    <w:rsid w:val="00A770B5"/>
    <w:rPr>
      <w:b/>
      <w:bCs/>
    </w:rPr>
  </w:style>
  <w:style w:type="character" w:customStyle="1" w:styleId="CommentSubjectChar">
    <w:name w:val="Comment Subject Char"/>
    <w:basedOn w:val="CommentTextChar"/>
    <w:link w:val="CommentSubject"/>
    <w:uiPriority w:val="99"/>
    <w:semiHidden/>
    <w:rsid w:val="00A770B5"/>
    <w:rPr>
      <w:b/>
      <w:bCs/>
      <w:sz w:val="20"/>
      <w:szCs w:val="20"/>
    </w:rPr>
  </w:style>
  <w:style w:type="character" w:styleId="Mention">
    <w:name w:val="Mention"/>
    <w:basedOn w:val="DefaultParagraphFont"/>
    <w:uiPriority w:val="99"/>
    <w:unhideWhenUsed/>
    <w:rsid w:val="00CC468D"/>
    <w:rPr>
      <w:color w:val="2B579A"/>
      <w:shd w:val="clear" w:color="auto" w:fill="E1DFDD"/>
    </w:rPr>
  </w:style>
  <w:style w:type="table" w:styleId="TableGrid">
    <w:name w:val="Table Grid"/>
    <w:basedOn w:val="TableNormal"/>
    <w:uiPriority w:val="39"/>
    <w:rsid w:val="009A2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824774">
      <w:bodyDiv w:val="1"/>
      <w:marLeft w:val="0"/>
      <w:marRight w:val="0"/>
      <w:marTop w:val="0"/>
      <w:marBottom w:val="0"/>
      <w:divBdr>
        <w:top w:val="none" w:sz="0" w:space="0" w:color="auto"/>
        <w:left w:val="none" w:sz="0" w:space="0" w:color="auto"/>
        <w:bottom w:val="none" w:sz="0" w:space="0" w:color="auto"/>
        <w:right w:val="none" w:sz="0" w:space="0" w:color="auto"/>
      </w:divBdr>
    </w:div>
    <w:div w:id="1868375356">
      <w:bodyDiv w:val="1"/>
      <w:marLeft w:val="0"/>
      <w:marRight w:val="0"/>
      <w:marTop w:val="0"/>
      <w:marBottom w:val="0"/>
      <w:divBdr>
        <w:top w:val="none" w:sz="0" w:space="0" w:color="auto"/>
        <w:left w:val="none" w:sz="0" w:space="0" w:color="auto"/>
        <w:bottom w:val="none" w:sz="0" w:space="0" w:color="auto"/>
        <w:right w:val="none" w:sz="0" w:space="0" w:color="auto"/>
      </w:divBdr>
    </w:div>
    <w:div w:id="2116165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b2d8f16-6e1e-4b00-b199-cea349d57673">
      <Terms xmlns="http://schemas.microsoft.com/office/infopath/2007/PartnerControls"/>
    </lcf76f155ced4ddcb4097134ff3c332f>
    <TaxCatchAll xmlns="d6cbf071-fd86-44b9-a6ed-73eec5ae0c9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06F58179964A4B8C8034CE2D95A3DB" ma:contentTypeVersion="12" ma:contentTypeDescription="Create a new document." ma:contentTypeScope="" ma:versionID="d79c73ec92c3d41372cb25dd14810d96">
  <xsd:schema xmlns:xsd="http://www.w3.org/2001/XMLSchema" xmlns:xs="http://www.w3.org/2001/XMLSchema" xmlns:p="http://schemas.microsoft.com/office/2006/metadata/properties" xmlns:ns2="0b2d8f16-6e1e-4b00-b199-cea349d57673" xmlns:ns3="d6cbf071-fd86-44b9-a6ed-73eec5ae0c9f" targetNamespace="http://schemas.microsoft.com/office/2006/metadata/properties" ma:root="true" ma:fieldsID="d69c0943175350176514675d7cdfde4e" ns2:_="" ns3:_="">
    <xsd:import namespace="0b2d8f16-6e1e-4b00-b199-cea349d57673"/>
    <xsd:import namespace="d6cbf071-fd86-44b9-a6ed-73eec5ae0c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2d8f16-6e1e-4b00-b199-cea349d576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5a30af7-f9bb-48ef-99b4-2a65bc9f307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cbf071-fd86-44b9-a6ed-73eec5ae0c9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6cf7fbc-9df2-42c3-88da-9c6b4b0bc710}" ma:internalName="TaxCatchAll" ma:showField="CatchAllData" ma:web="d6cbf071-fd86-44b9-a6ed-73eec5ae0c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B3390C-6195-4065-8186-D7ADB924DD9E}">
  <ds:schemaRefs>
    <ds:schemaRef ds:uri="http://schemas.microsoft.com/office/2006/metadata/properties"/>
    <ds:schemaRef ds:uri="http://schemas.microsoft.com/office/infopath/2007/PartnerControls"/>
    <ds:schemaRef ds:uri="c0d858d1-4770-4db9-b66a-071968a2d720"/>
    <ds:schemaRef ds:uri="476c6679-fb3c-4dc4-9d82-ae44959a9d0b"/>
  </ds:schemaRefs>
</ds:datastoreItem>
</file>

<file path=customXml/itemProps2.xml><?xml version="1.0" encoding="utf-8"?>
<ds:datastoreItem xmlns:ds="http://schemas.openxmlformats.org/officeDocument/2006/customXml" ds:itemID="{EFBCA10D-EA2E-4A43-B726-F11D4F223C2F}">
  <ds:schemaRefs>
    <ds:schemaRef ds:uri="http://schemas.microsoft.com/sharepoint/v3/contenttype/forms"/>
  </ds:schemaRefs>
</ds:datastoreItem>
</file>

<file path=customXml/itemProps3.xml><?xml version="1.0" encoding="utf-8"?>
<ds:datastoreItem xmlns:ds="http://schemas.openxmlformats.org/officeDocument/2006/customXml" ds:itemID="{94B651F8-EBF9-4512-B190-2A44FE5971DA}"/>
</file>

<file path=docProps/app.xml><?xml version="1.0" encoding="utf-8"?>
<Properties xmlns="http://schemas.openxmlformats.org/officeDocument/2006/extended-properties" xmlns:vt="http://schemas.openxmlformats.org/officeDocument/2006/docPropsVTypes">
  <Template>Normal</Template>
  <TotalTime>14</TotalTime>
  <Pages>2</Pages>
  <Words>334</Words>
  <Characters>1908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Kate-Marie Foster</dc:creator>
  <cp:keywords/>
  <dc:description/>
  <cp:lastModifiedBy>Terri White</cp:lastModifiedBy>
  <cp:revision>17</cp:revision>
  <cp:lastPrinted>2024-05-21T08:23:00Z</cp:lastPrinted>
  <dcterms:created xsi:type="dcterms:W3CDTF">2024-06-25T11:59:00Z</dcterms:created>
  <dcterms:modified xsi:type="dcterms:W3CDTF">2025-01-29T16:18:00Z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0x0101005306F58179964A4B8C8034CE2D95A3DB</vt:lpwstr>
  </property>
  <property fmtid="{D5CDD505-2E9C-101B-9397-08002B2CF9AE}" pid="3" name="MediaServiceImageTags">
    <vt:lpwstr/>
  </property>
</Properties>
</file>